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Catheryn,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$1.4,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rainforests,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1/3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Glasgow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1/3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Egypt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Glasgow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deforestation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hedging,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TCFD.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TCFD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Glasgow,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[00:11:04]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Glasgow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FSB,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GFANZ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Glasgow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reaffirmed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pledged,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2.4.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Catherine,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[00:22:04]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panacea,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plumbing.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cumulative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downstream.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onshoring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jurisdictions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homeowner?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[00:33:04]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small-medium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small-medium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skew...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year-ish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hydrocarbons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credentialed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Brookfield.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Cathryn Carver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delegation,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premium."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Carney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Katherine.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[00:40:23]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1 (Completed  06/16/22)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WpH8Ph353fRlm1ip1hyAzXrP3_Wk5m7ESTHjha3J7Ht8U1d_PfbyJjeqF8Tf3amYTw7d4s3P_WbV1gZqNXDoJxfER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631532D8BD4E883BC7E64FEAFBA4" ma:contentTypeVersion="12" ma:contentTypeDescription="Create a new document." ma:contentTypeScope="" ma:versionID="a7809bd81ab792410902fb81975b4f6b">
  <xsd:schema xmlns:xsd="http://www.w3.org/2001/XMLSchema" xmlns:xs="http://www.w3.org/2001/XMLSchema" xmlns:p="http://schemas.microsoft.com/office/2006/metadata/properties" xmlns:ns2="a83f7ac1-0124-475d-b34b-c756838f206f" xmlns:ns3="65fe1ecb-0cc2-4442-868b-30fef684c73a" targetNamespace="http://schemas.microsoft.com/office/2006/metadata/properties" ma:root="true" ma:fieldsID="038a87950f28f5d601446bb4bad91bb2" ns2:_="" ns3:_="">
    <xsd:import namespace="a83f7ac1-0124-475d-b34b-c756838f206f"/>
    <xsd:import namespace="65fe1ecb-0cc2-4442-868b-30fef684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7ac1-0124-475d-b34b-c756838f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1ecb-0cc2-4442-868b-30fef684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DA699-BA2E-4BF6-A706-FBF06C21DF8E}"/>
</file>

<file path=customXml/itemProps2.xml><?xml version="1.0" encoding="utf-8"?>
<ds:datastoreItem xmlns:ds="http://schemas.openxmlformats.org/officeDocument/2006/customXml" ds:itemID="{174E0F2C-E1D1-4629-B06D-5AEB9DF3DA6C}"/>
</file>

<file path=customXml/itemProps3.xml><?xml version="1.0" encoding="utf-8"?>
<ds:datastoreItem xmlns:ds="http://schemas.openxmlformats.org/officeDocument/2006/customXml" ds:itemID="{98859B1B-37D3-430A-8374-581B5E6B7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0x0101008D84631532D8BD4E883BC7E64FEAFBA4</vt:lpwstr>
  </property>
</Properties>
</file>