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Q&amp;A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Macquarie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cumulative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 Quince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Morecroft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 Quince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Q&amp;A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cumulatively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concessionality,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Tasmania.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penetration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gigawatts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complementary,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electrolyzer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Wollongong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electrolyzers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ingenuity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Zhengrong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e-bikes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AgriWebb,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risk/reward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1 OF 4 ENDS [00:13:04]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subordinated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mezzanine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de-risk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headwinds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de-risked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cumbersome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cumbersome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greenwashing,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whether it's the stage of the project, whether it's... There's a whole number of reasons where someone like a Clean Energy Finance Corp will come in and support, and come in before a bank or alongside-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2 OF 4 ENDS [00:26:04]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fund.,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Macquarie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fertilizers,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baragopsis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and-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3-NOP.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3-NOP,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CSIRO.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prohibitively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undertakings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incubator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know-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peer-to-peer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CFC-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3 OF 4 ENDS [00:39:04]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ABGF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Dandenong,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e-waste,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landfill,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abatement.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ammonia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abatement.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Commonwealth.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overly-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dispatchable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dispatchable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Hornsdales,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FCAS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ancillary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arbitration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expenditure,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regenerative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forestry's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cleared.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Learmonth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lithium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aircrafts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Coxhead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4 OF 4 ENDS [00:50:41]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Session 3 (Completed  06/16/22)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GETem6D6UWRReZe-CLj9DxpWhxKRP0t_hO4Mp-PULCyeFMuO-yyMcFo3RtGN4MkHDomuLeut4kSa2TErXsZqGS4ZMv0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631532D8BD4E883BC7E64FEAFBA4" ma:contentTypeVersion="12" ma:contentTypeDescription="Create a new document." ma:contentTypeScope="" ma:versionID="a7809bd81ab792410902fb81975b4f6b">
  <xsd:schema xmlns:xsd="http://www.w3.org/2001/XMLSchema" xmlns:xs="http://www.w3.org/2001/XMLSchema" xmlns:p="http://schemas.microsoft.com/office/2006/metadata/properties" xmlns:ns2="a83f7ac1-0124-475d-b34b-c756838f206f" xmlns:ns3="65fe1ecb-0cc2-4442-868b-30fef684c73a" targetNamespace="http://schemas.microsoft.com/office/2006/metadata/properties" ma:root="true" ma:fieldsID="038a87950f28f5d601446bb4bad91bb2" ns2:_="" ns3:_="">
    <xsd:import namespace="a83f7ac1-0124-475d-b34b-c756838f206f"/>
    <xsd:import namespace="65fe1ecb-0cc2-4442-868b-30fef684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7ac1-0124-475d-b34b-c756838f2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1ecb-0cc2-4442-868b-30fef684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EB306-BEA8-4F59-9F1B-FD075F6F244E}"/>
</file>

<file path=customXml/itemProps2.xml><?xml version="1.0" encoding="utf-8"?>
<ds:datastoreItem xmlns:ds="http://schemas.openxmlformats.org/officeDocument/2006/customXml" ds:itemID="{B3A611AB-4600-41A3-B905-388C66252DE8}"/>
</file>

<file path=customXml/itemProps3.xml><?xml version="1.0" encoding="utf-8"?>
<ds:datastoreItem xmlns:ds="http://schemas.openxmlformats.org/officeDocument/2006/customXml" ds:itemID="{F7BFAE12-1AF8-4FEA-B4EB-FC28A4C22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0x0101008D84631532D8BD4E883BC7E64FEAFBA4</vt:lpwstr>
  </property>
</Properties>
</file>