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4:30.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Jenkins.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MinterEllison.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superannuation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Bromley,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sovereign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de-mechanize,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de-nitrous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oxidize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seismic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BlackRock,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Vanguard,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SFDR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non-financial,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promulgated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promulgated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IFRS-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1 OF 4 ENDS [00:12:04]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promulgated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compulsory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greenwashing,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greenwashing,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etc.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David,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TCFD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voluntoldory,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voluntoldory,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AASB's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voluntoldory,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enunciated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SFDR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conundrum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the-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2 OF 4 ENDS [00:24:04]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SFDR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fiduciary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Brisbane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Hutley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greenwashing.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enlivens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negligence,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plaintiffs.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plaintiff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negligent,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D&amp;O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D&amp;O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indemnity.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surveillance.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credible...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3 OF 4 ENDS [00:36:04]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sovereigns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sovereigns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separately?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Lloyd's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QAC,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 Bloch-Jorgense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Jenkins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4 OF 4 ENDS [00:47:25]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Session 4 (Completed  06/16/22)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Ft5M13la4CztTGBV1PhcLzYv-f9nDvzJWxtPYMEnm3owEsHBN77OKgA0ohdYm8tQ81ZYcKyjQ4LHcoaR7M_nsw-QpSc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631532D8BD4E883BC7E64FEAFBA4" ma:contentTypeVersion="12" ma:contentTypeDescription="Create a new document." ma:contentTypeScope="" ma:versionID="a7809bd81ab792410902fb81975b4f6b">
  <xsd:schema xmlns:xsd="http://www.w3.org/2001/XMLSchema" xmlns:xs="http://www.w3.org/2001/XMLSchema" xmlns:p="http://schemas.microsoft.com/office/2006/metadata/properties" xmlns:ns2="a83f7ac1-0124-475d-b34b-c756838f206f" xmlns:ns3="65fe1ecb-0cc2-4442-868b-30fef684c73a" targetNamespace="http://schemas.microsoft.com/office/2006/metadata/properties" ma:root="true" ma:fieldsID="038a87950f28f5d601446bb4bad91bb2" ns2:_="" ns3:_="">
    <xsd:import namespace="a83f7ac1-0124-475d-b34b-c756838f206f"/>
    <xsd:import namespace="65fe1ecb-0cc2-4442-868b-30fef684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7ac1-0124-475d-b34b-c756838f2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1ecb-0cc2-4442-868b-30fef684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BAE49-7BCC-463A-93B1-CD7747565E12}"/>
</file>

<file path=customXml/itemProps2.xml><?xml version="1.0" encoding="utf-8"?>
<ds:datastoreItem xmlns:ds="http://schemas.openxmlformats.org/officeDocument/2006/customXml" ds:itemID="{19087043-A69B-43E3-8E9A-8643C779F160}"/>
</file>

<file path=customXml/itemProps3.xml><?xml version="1.0" encoding="utf-8"?>
<ds:datastoreItem xmlns:ds="http://schemas.openxmlformats.org/officeDocument/2006/customXml" ds:itemID="{9D981311-AD83-4A41-B4B3-E8E51E2A6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0x0101008D84631532D8BD4E883BC7E64FEAFBA4</vt:lpwstr>
  </property>
</Properties>
</file>