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commodities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commodities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Baden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commodities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Simshauser,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Queensland,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Baden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volatility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fossil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destruction.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Baden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exacerbated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commodities,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volatility.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Baden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Zealand,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Connor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Connor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Connor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Baden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Connor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look..."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Safeguard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safeguard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amended.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Connor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Safeguard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Connor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Safeguard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underneath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Connor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leakage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safeguards.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Connor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Baden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safeguard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Connor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$60.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land-based.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Connor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land-based,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Safeguard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expenditure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Baden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Connor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Connor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Baden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Connor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Baden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Connor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sovereign-backed.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conservative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been...</w:t>
      </w:r>
    </w:p>
    <w:p w:rsidR="00A77B3E">
      <w:pPr>
        <w:spacing w:before="600" w:beforeAutospacing="1" w:after="0" w:afterAutospacing="1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1 OF 4 ENDS [00:11:04]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Connor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clunky,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disallowed.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criticisms.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Connor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Baden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Powerlink.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Powerlink's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Baden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Powerlink.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Cairns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transmission."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caveat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rifles,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Nonetheless,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unambiguously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subordinated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taxpayer's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carefully.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Powerlink's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luxury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left-hand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outwards,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intermittent,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occasional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turbine.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Baden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substantial.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Baden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benevolent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Powerlink,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Queensland.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treasury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shareholder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appetite.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benevolent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monopoly,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rifles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wholesale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Baden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'90s,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coal-fired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mid-noughties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gas-fired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unbelievable.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$26.5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Simultaneously,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PV.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megawatts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rooftops.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megawatts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megawatts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megawatt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Queensland,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41.8%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PV.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'16,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'17,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'19,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'20.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'22,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Queensland.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inquiry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megawatts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inquiries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Queensland.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10,000,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</w:p>
    <w:p w:rsidR="00A77B3E">
      <w:pPr>
        <w:spacing w:before="600" w:beforeAutospacing="1" w:after="0" w:afterAutospacing="1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2 OF 4 ENDS [00:22:04]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caveat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Baden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safeguard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starcastic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gigajoule,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grizzle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gigajoule.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unprecedented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culminating.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underpinning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hemisphere.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hemisphere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stiffened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megawatt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ordinarily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megawatt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Simultaneously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gigajoule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megawatt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megawatt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megawatt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megawatt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Baden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discretionary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footprint.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shareholders,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intermittent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Dunklen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Flauton,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turbines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pragmatic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turbine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affordable.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Baden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Connor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upwards.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volatility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ceiling,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Connor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Glasgow,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initiative.</w:t>
      </w:r>
    </w:p>
    <w:p w:rsidR="00A77B3E">
      <w:pPr>
        <w:spacing w:before="600" w:beforeAutospacing="1" w:after="0" w:afterAutospacing="1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3 OF 4 ENDS [00:33:04]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Connor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reiterate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implying.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pecuniary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explicitly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implicitly,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impinge.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half-year,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Canberra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Simshauser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parameters,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Baden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Connor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stratification.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lowest-cost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abatement.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safeguard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Baden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follow-on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offsets?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Connor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endowment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Baden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Connor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Baden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Connor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43%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Baden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Connor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600" w:beforeAutospacing="1" w:after="0" w:afterAutospacing="1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4 OF 4 ENDS [00:40:21]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Session 6 (Completed  06/16/22)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16,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fg3mgZ9odHru9h8q8C6x-lhv0k9XIqC9kacxs2lWAGy7YtWQY-5JkHvTU2Ywph9dBKw9ZCZ1aoHY48oSuYxx9ApEpkU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4631532D8BD4E883BC7E64FEAFBA4" ma:contentTypeVersion="12" ma:contentTypeDescription="Create a new document." ma:contentTypeScope="" ma:versionID="a7809bd81ab792410902fb81975b4f6b">
  <xsd:schema xmlns:xsd="http://www.w3.org/2001/XMLSchema" xmlns:xs="http://www.w3.org/2001/XMLSchema" xmlns:p="http://schemas.microsoft.com/office/2006/metadata/properties" xmlns:ns2="a83f7ac1-0124-475d-b34b-c756838f206f" xmlns:ns3="65fe1ecb-0cc2-4442-868b-30fef684c73a" targetNamespace="http://schemas.microsoft.com/office/2006/metadata/properties" ma:root="true" ma:fieldsID="038a87950f28f5d601446bb4bad91bb2" ns2:_="" ns3:_="">
    <xsd:import namespace="a83f7ac1-0124-475d-b34b-c756838f206f"/>
    <xsd:import namespace="65fe1ecb-0cc2-4442-868b-30fef684c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f7ac1-0124-475d-b34b-c756838f2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e1ecb-0cc2-4442-868b-30fef684c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FCE6C-3531-4EEC-85FC-5B2C523F4C78}"/>
</file>

<file path=customXml/itemProps2.xml><?xml version="1.0" encoding="utf-8"?>
<ds:datastoreItem xmlns:ds="http://schemas.openxmlformats.org/officeDocument/2006/customXml" ds:itemID="{7EC650B9-36B4-45F3-99E1-870D367F8FA2}"/>
</file>

<file path=customXml/itemProps3.xml><?xml version="1.0" encoding="utf-8"?>
<ds:datastoreItem xmlns:ds="http://schemas.openxmlformats.org/officeDocument/2006/customXml" ds:itemID="{D73FE7AE-08B2-4A17-AE5F-902DA2B430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0x0101008D84631532D8BD4E883BC7E64FEAFBA4</vt:lpwstr>
  </property>
</Properties>
</file>