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Bennett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Calhoun,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 Calhoun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Travelodge.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Hewlett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McKinsey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CBD,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6.3,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6.4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airfares,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 Meade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outbound.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Moscow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Moscow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RBAs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hawkish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 Calhoun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 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 Calhoun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Q&amp;A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 Dooley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Hemisphere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hawkish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bifurcated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LBR.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LBR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deteriorated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LVRs.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 Calhoun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 Meade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drywall,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 Calhoun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 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 Calhoun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squeezed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equilibrium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 Dooley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deterioration.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deteriorate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offshore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 Calhoun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 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 Calhoun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 Meade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year-on-year.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Gyprock,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ratcheting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 Calhoun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dwellings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unwinding.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 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 Calhoun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 Dooley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 Calhoun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 Meade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 Calhoun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 Dooley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 Meade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Bennett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Session 1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l1vXnMIDV4svaQxWv7OFC_mjpmRg0hTakFcQtWJ61FXTcUYUkLC8JVBxfN802C1YXSoyG-qrEODrzwvoNwTQcFLG0Fo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