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Samson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tautology,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Canberra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Canberra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paradoxical,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frivolous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germophobe.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obsequiousness.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stylishly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chit-chatting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outlandish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conspiratorial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Tiananmen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obsolete.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Fukuyama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authoritarianism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triumphed.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destabilizing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Antonio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Guterres,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belligerent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belligerent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Vladimir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Y2K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Y2K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Vladimir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Guterres's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Antonio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Guterres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sluggish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Kwasi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Kwarteng,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chancellor,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unveiled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Kwasi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Kwarteng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chancellor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self-harm.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1939,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Taliban's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Kabul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emboldened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alacrity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Volodymyr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Zelenskyy,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warfare,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resurgence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anathema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impersonating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pilgrimage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pilgrimage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resurgence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resurgence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Brazil,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Hemisphere's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apartheid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condemned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Vladimir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condemned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resurgence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fraudulently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Brazil,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Bolsonaro,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Mississippi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Brazil,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Bolsonaro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Brazilian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Brasilia.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Benito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Mussolini.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Jintau,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predecessor,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autocracy,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rapprochement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Coronavirus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Beijing,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semiconductor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Philippines,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Sullivan,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Thucydides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rivalry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Athenian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Athenian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Thucydides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Shanghai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unprecedented,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unprecedented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Tiananmen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oxymoronic.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turbulence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bipartisanship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hyper-partisanship.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climactic,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brinkmanship,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Insurrectionists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Marjorie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catastrophic.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fraudulently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diehards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aberration,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aberration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DeSantis,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Pompeo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jeopardy.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prosecution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DeSantis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Pompeo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semiconductors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doddery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soliloquies.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scrutinized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Kamala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onslaught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frivolous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cannibalistic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Ardern,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frenzied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GSD,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GSD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Samson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antipathies,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irrelevance,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preemptive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communitarianism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Samson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far-reaching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Russia-Ukraine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1939.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1938?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Leopard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unthinkable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unthinkable.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coronavirus,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Samson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Samson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Pentagon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conspiracy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Samson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DeSantis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DeSantis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charisma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magnetism.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DeSantis,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Samson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thought-provoking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Bennett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upheaval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Samson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2 (Completed  02/22/23)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4Uj044sYqJ-QvTg5hc9moDFF37hpaJlkxxC9g-vQfZRMClUTql0jtRQjUg70qaetnpP-raswZlt8QQF5ENU77Hw7HW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