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Samson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Jenkins,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Melbourne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Sokaris,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Melbourne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Melbourne,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Asia-Pacific.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 Cuthell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hindsight,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KPIs,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rigorously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Net-Zero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 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NZBA,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NZBA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'24...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NZBA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Deloitte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trillion.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 Sokaris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net-zero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fossil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fossil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fossil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hydrogen,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treasurers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 Sokaris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treasurer,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NZBA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net-zero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net-zero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treasurer,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KPI-led,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KPIs.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treasurer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 Cuthell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electrification,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 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combustion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adjacent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Scope-3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footprint.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 Sokaris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soil...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de-risking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 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DJ,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 Sokaris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fossil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 Cuthell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loyalty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loyalty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 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 Sokaris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 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DJ,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jurisdictions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BNZ,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subsidiary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jurisdictions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 Cuthell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spillover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 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 Sokaris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 Sokaris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decarbonize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 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Jenkins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Session 3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22,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k4sF7WjgoyJG9i1rlL8Lae8e3MPEPYrrX7W7Bb_JcUQJ2ySyDfLAQ42eIv4Js3IMJ7_REYPjooqIN4vxfbi_wsvGs-Q?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