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Samson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rejoining,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00:01:41]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Mirams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Mirams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12.7%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WGEA,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00:07:21]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Baulderstone,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Sydney-siders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24/7,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EarPods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Gladys's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Perrottet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omicron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60%.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mathematician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ratchets,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PVC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Plasterboard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plasterboard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Maersk,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39.9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opportunistic?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majeure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metropolitan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majeure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majeure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insolvency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1,550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insolvencies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Probuild,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Ganellen,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Murphy,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Pindan,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Deloitte's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insolvency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stifling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low-hanging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DQ.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superannuation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5:00.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work-life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CFMEU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Probuild,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annunciated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Mirams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Mirams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Mirams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Randwick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GBCA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poo-pooed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00:35:03]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00:35:07]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50/50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knuckles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Mirams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Mirams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carnival,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Mirams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Bennett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thought-provoking,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Session 4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uQUAKphxN-oeJl3Ucsuq_pdC63KRvEnzqtqiIXy7Em_I2Woik0jH2ceLCncCWL5eTQXhiY32JIdm9yHnt6PEJxdghr4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