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Bennett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Kirsten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multi-asset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Kirsten.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Kirsten Temple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rollercoaster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backdrop,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prominently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multi-asset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Shelley,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Tanya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Branwhite,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TCorp.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GFC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Shelley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tailwind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dividend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tailwind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affairs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nevertheless,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tailwind,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headwind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reversals.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demographics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Tanya Branwhite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derisking.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dividends.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appetites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appetite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Tcorp,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CPI.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Kirsten Temple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Tanya Branwhite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inherently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TCorp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diversification.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emphasis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reinvigorated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Kirsten Temple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Tanya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Tanya's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characterize...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Shelley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persuading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Aussie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sub-sector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overarching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sub-sectors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specializations.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toolkit.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Tanya Branwhite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diversification.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understandable.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sophisticated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Kirsten Temple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demographic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Tanya Branwhite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purchaser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Kirsten Temple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synchronization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TCorp,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Tanya,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TCorp's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Tanya Branwhite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top-down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bottom-up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multi-asset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objective.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scenario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jurisdiction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pervades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jurisdictions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concentration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concentrated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diversification.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Kirsten Temple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concentration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Tanya Branwhite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concentration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Kirsten Temple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Tanya's?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Shelley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articulation,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emphasis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notwithstanding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Tanya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annunciating,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concentrated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Tanya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error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Kirsten Temple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00:21:10]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pre-mix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superannuation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Tanya Branwhite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characteristics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multi-dimensional.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liquidity.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explicit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dimensionalities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Shelley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scenario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speculative.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Kirsten Temple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tangible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bitcoins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cryptocurrencies,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cryptocurrencies,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Tanya Branwhite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cryptocurrency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fiduciaries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transparency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transparency,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cautious.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Tcorp.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fiduciary,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Shelley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attempting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persuade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Kirsten Temple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Shelley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Kirsten Temple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tokenization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overweight,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illiquidity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premium.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Shelley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illiquid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premium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yields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Aussie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inflows,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Tanya Branwhite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illiquid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illiquidity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premium.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illiquid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liquid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illiquidity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premium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constraints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illiquidity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illiquidity,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liquidity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illiquid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characteristics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illiquidity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liquidity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illiquid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Kirsten Temple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illiquid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smooth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volatile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volatility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Tanya Branwhite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illiquid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volatility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mirror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volatility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characteristics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mirrors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Kirsten Temple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volatility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Tanya.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Tanya Branwhite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whoever's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tolerances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impede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appetite.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volatility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transparency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efficiency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encounter.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sensitivities.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Kirsten Temple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characteristics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Tanya Branwhite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Tcorp,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Kirsten Temple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liquid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Shelley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pertinent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superannuation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Admittedly,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illiquidity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premium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covenants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benchmark,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Kirsten Temple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enormously.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notwithstanding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Shelley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peaked.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minimum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Kirsten Temple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liquidity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pertinent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Shelley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Kirsten Temple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superannuation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TCorp's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crowding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crowd's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domestic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Tanya Branwhite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crowded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liquid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horizon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liquid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liquid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Shelley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Zealand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offshore.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Kirsten Temple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offshore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Shelley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alpha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emphasis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alpha,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overarching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Aussie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Aussie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crowded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Tanya Branwhite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Kirsten Temple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Tanya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Session 5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Feb 22,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FaSaI4HN5f40qUaw4fYYAiKPjHNMQ6kliUXfvQ-_HjBjXCiNNkKCwjYdUKYXMCF9eSxajbVtHt2c2-x9sq4SHgIlfyM?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